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BbgVBauV (Brandenburg) — Treppenräume, Treppenraumerweiterungen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Wände von notwendigen Treppenräumen müssen in der Bauart von Brandwänden hergestellt sein. Bodenbeläge müssen in notwendigen Treppenräumen aus nichtbrennbaren Baustoffen bestehen.</w:t>
      </w:r>
    </w:p>
    <w:p>
      <w:r>
        <w:t xml:space="preserve">(2) Treppenraumerweiterungen müssen</w:t>
      </w:r>
    </w:p>
    <w:p>
      <w:r>
        <w:t xml:space="preserve">die Anforderungen an Treppenräume erfüllen,</w:t>
      </w:r>
    </w:p>
    <w:p>
      <w:r>
        <w:t xml:space="preserve">feuerbeständige Decken aus nichtbrennbaren Baustoffen haben und</w:t>
      </w:r>
    </w:p>
    <w:p>
      <w:r>
        <w:t xml:space="preserve">mindestens so breit sein wie die notwendigen Treppen, mit denen sie in Verbindung stehen.</w:t>
      </w:r>
    </w:p>
    <w:p>
      <w:r>
        <w:t xml:space="preserve">Sie dürfen nicht länger als 35 Meter sein und keine Öffnungen zu anderen Räumen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