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BbgUniMedG (Brandenburg) — Einschränkung von Grundrechten</w:t>
      </w:r>
    </w:p>
    <w:p>
      <w:r>
        <w:rPr>
          <w:color w:val="555555"/>
          <w:sz w:val="18"/>
        </w:rPr>
        <w:t xml:space="preserve">Brandenburgisches Universitätsmedizingesetz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Durch § 7 wird das Grundrecht auf informationelle Selbstbestimmung (Artikel 2 Absatz 1 in Verbindung mit Artikel 1 Absatz 1 des Grundgesetzes) und das Grundrecht auf Datenschutz (Artikel 11 Absatz 1 der Verfassung des Landes Brandenburg) eingeschränkt. Durch § 1 Absatz 3 bis 8 sowie die §§ 10, 12 bis 17, 22 bis 24, 29 und 34 Absatz 1, 3, 5 und 6 wird das Grundrecht der Berufsfreiheit (Artikel 49 Absatz 1 der Verfassung des Landes Brandenburg) eingeschränkt.</w:t>
      </w:r>
    </w:p>
    <w:p>
      <w:r>
        <w:rPr>
          <w:color w:val="555555"/>
          <w:sz w:val="17"/>
        </w:rPr>
        <w:t xml:space="preserve">Zitiervorschlag: § 36 BbgUniMedG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https://recht.nulegal.eu/gesetze/BbgUniMedG/36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BbgUniMedG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