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BbgUniMedG (Brandenburg) — Satzungen der Medizinischen Universität</w:t>
      </w:r>
    </w:p>
    <w:p>
      <w:r>
        <w:rPr>
          <w:color w:val="555555"/>
          <w:sz w:val="18"/>
        </w:rPr>
        <w:t xml:space="preserve">Brandenburgisches Universitätsmedizingesetz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Satzungen der Medizinischen Universität sind neben der Grundordnung die Grundlagensatzung und sonstige Satzungen.</w:t>
      </w:r>
    </w:p>
    <w:p>
      <w:r>
        <w:t xml:space="preserve">(2) Die Grundlagensatzung regelt unter Beachtung der gesetzlichen Vorgaben insbesondere Aufgaben, Arbeitsweisen und Zusammenwirken der Organe und Gremien der Medizinischen Universität, soweit nicht die Grundordnung nach Absatz 3 gilt. Die Grundlagensatzung regelt insbesondere Näheres über:</w:t>
      </w:r>
    </w:p>
    <w:p>
      <w:r>
        <w:t xml:space="preserve">die Festlegung des Namens der Medizinischen Universität nach § 1 Absatz 1 Satz 2,</w:t>
      </w:r>
    </w:p>
    <w:p>
      <w:r>
        <w:t xml:space="preserve">die weiteren Aufgaben der Medizinischen Universität nach § 2 Absatz 7,</w:t>
      </w:r>
    </w:p>
    <w:p>
      <w:r>
        <w:t xml:space="preserve">die Wirtschaftsführung nach § 9 Absatz 3,</w:t>
      </w:r>
    </w:p>
    <w:p>
      <w:r>
        <w:t xml:space="preserve">die Wahl der Gleichstellungsbeauftragen nach § 29 Absatz 1 und</w:t>
      </w:r>
    </w:p>
    <w:p>
      <w:r>
        <w:t xml:space="preserve">die Organisationsstruktur nach § 31 Absatz 1.</w:t>
      </w:r>
    </w:p>
    <w:p>
      <w:r>
        <w:t xml:space="preserve">Die Grundlagensatzung kann weitere Regelungen treffen, insbesondere über die Berechtigung zur Vollmachtserteilung nach § 22 Absatz 6.</w:t>
      </w:r>
    </w:p>
    <w:p>
      <w:r>
        <w:t xml:space="preserve">(3) Die Grundordnung trifft Regelungen zur akademischen Selbstverwaltung. Sie regelt insbesondere Näheres über:</w:t>
      </w:r>
    </w:p>
    <w:p>
      <w:r>
        <w:t xml:space="preserve">die Beteiligung des Vorstands nach § 20 Absatz 3,</w:t>
      </w:r>
    </w:p>
    <w:p>
      <w:r>
        <w:t xml:space="preserve">die Zuweisung der Zuständigkeit im Sinne des § 21 Absatz 1 Satz 1,</w:t>
      </w:r>
    </w:p>
    <w:p>
      <w:r>
        <w:t xml:space="preserve">das Wahlverfahren nach § 22 Absatz 3 und</w:t>
      </w:r>
    </w:p>
    <w:p>
      <w:r>
        <w:t xml:space="preserve">die Ausgestaltung des Amtes der Professoralen Verantwortlichen für die Bereiche Forschung sowie Studium und Lehre nach § 22 Absatz 11.</w:t>
      </w:r>
    </w:p>
    <w:p>
      <w:r>
        <w:t xml:space="preserve">(4) Grundordnung und Grundlagensatzung können mit Zustimmung des Wissenschaftssenats in einer Grundsatzung zusammengeführt werden. Änderungen der Grundsatzung, die Forschung und Lehre betreffen, bedürfen des Einvernehmens des Wissenschaftssenats.</w:t>
      </w:r>
    </w:p>
    <w:p>
      <w:r>
        <w:rPr>
          <w:color w:val="555555"/>
          <w:sz w:val="17"/>
        </w:rPr>
        <w:t xml:space="preserve">Zitiervorschlag: § 33 BbgUniMedG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https://recht.nulegal.eu/gesetze/BbgUniMedG/33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