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BbgUniMedG (Brandenburg) — Organisation</w:t>
      </w:r>
    </w:p>
    <w:p>
      <w:r>
        <w:rPr>
          <w:color w:val="555555"/>
          <w:sz w:val="18"/>
        </w:rPr>
        <w:t xml:space="preserve">Brandenburgisches Universitätsmedizingesetz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Medizinische Universität gibt sich eine geeignete Struktur, insbesondere um die Aufgabenbereiche nach § 2 Absatz 1 zu bündeln. Die Medizinische Universität richtet als operative Schnittstelle zur Modellregion Gesundheit Lausitz die Koordinierungsstelle für digitale Vernetzung ein. Das Nähere wird in der Grundlagensatzung geregelt.</w:t>
      </w:r>
    </w:p>
    <w:p>
      <w:r>
        <w:t xml:space="preserve">(2) Abschnitt 9 des Brandenburgischen Hochschulgesetzes findet mit Ausnahme von § 80 Absatz 4 keine Anwendung.</w:t>
      </w:r>
    </w:p>
    <w:p>
      <w:r>
        <w:rPr>
          <w:color w:val="555555"/>
          <w:sz w:val="17"/>
        </w:rPr>
        <w:t xml:space="preserve">Zitiervorschlag: § 31 BbgUniMedG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https://recht.nulegal.eu/gesetze/BbgUniMedG/31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