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BbgUniMedG (Brandenburg) — Kooperationen</w:t>
      </w:r>
    </w:p>
    <w:p>
      <w:r>
        <w:rPr>
          <w:color w:val="555555"/>
          <w:sz w:val="18"/>
        </w:rPr>
        <w:t xml:space="preserve">Brandenburgisches Universitätsmedizingesetz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Zur Erfüllung ihrer Aufgaben kann die Medizinische Universität mit anderen Hochschulen, Forschungseinrichtungen und besonders qualifizierten Einrichtungen der gesundheitlichen und pflegerischen Versorgung zusammenarbeiten.</w:t>
      </w:r>
    </w:p>
    <w:p>
      <w:r>
        <w:t xml:space="preserve">(2) Die Medizinische Universität schließt mit der Brandenburgischen Technischen Universität Cottbus-Senftenberg eine öffentlich-rechtliche Kooperationsvereinbarung, in der das Nähere über das Zusammenwirken, insbesondere in zentralen Dienstleistungsangeboten und durch die gemeinsame und untereinander abgestimmte Durchführung von Forschung, Lehre und Transfer, geregelt wird.</w:t>
      </w:r>
    </w:p>
    <w:p>
      <w:r>
        <w:t xml:space="preserve">(3) Die Medizinische Universität schließt mit der für Rechtsmedizin zuständigen Einrichtung im Land Brandenburg oder ihrer Trägerin oder ihrem Träger eine öffentlich-rechtliche Kooperationsvereinbarung, in der das Nähere über das Zusammenwirken geregelt wird.</w:t>
      </w:r>
    </w:p>
    <w:p>
      <w:r>
        <w:t xml:space="preserve">(4) Die Medizinische Universität macht die Ergebnisse öffentlich finanzierter Forschung und Ergebnisse, die unter Nutzung öffentlich finanzierter Ressourcen entstanden sind, grundsätzlich allgemein zugänglich, sofern dem keine berechtigten Interessen Dritter entgegenstehen.</w:t>
      </w:r>
    </w:p>
    <w:p>
      <w:r>
        <w:rPr>
          <w:color w:val="555555"/>
          <w:sz w:val="17"/>
        </w:rPr>
        <w:t xml:space="preserve">Zitiervorschlag: § 3 BbgUniMedG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https://recht.nulegal.eu/gesetze/BbgUniMedG/3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