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BbgUniMedG (Brandenburg) — Akademische Mitarbeiterinnen und Mitarbeiter</w:t>
      </w:r>
    </w:p>
    <w:p>
      <w:r>
        <w:rPr>
          <w:color w:val="555555"/>
          <w:sz w:val="18"/>
        </w:rPr>
        <w:t xml:space="preserve">Brandenburgisches Universitätsmedizingesetz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Akademischen Mitarbeiterinnen und Mitarbeitern können auch wissenschaftliche Dienstleistungen in der Krankenversorgung sowie System- und Zukunftsaufgaben obliegen.</w:t>
      </w:r>
    </w:p>
    <w:p>
      <w:r>
        <w:rPr>
          <w:color w:val="555555"/>
          <w:sz w:val="17"/>
        </w:rPr>
        <w:t xml:space="preserve">Zitiervorschlag: § 15 BbgUniMedG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https://recht.nulegal.eu/gesetze/BbgUniMedG/15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