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BbgUVPG (Brandenburg) — Begriffsbestimmungen</w:t>
      </w:r>
    </w:p>
    <w:p>
      <w:r>
        <w:rPr>
          <w:color w:val="555555"/>
          <w:sz w:val="18"/>
        </w:rPr>
        <w:t xml:space="preserve">Brandenburgisches Gesetz über die Umweltverträglichkeitsprüfung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Begriffsbestimmungen des Gesetzes über die Umweltverträglichkeitsprüfung gelten entsprechend für das Landesrecht.</w:t>
      </w:r>
    </w:p>
    <w:p>
      <w:r>
        <w:rPr>
          <w:color w:val="555555"/>
          <w:sz w:val="17"/>
        </w:rPr>
        <w:t xml:space="preserve">Zitiervorschlag: § 2 BbgUVPG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https://recht.nulegal.eu/gesetze/BbgUVPG/2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