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BbgUIGGebO (Brandenburg) — Inkrafttreten, Außerkrafttreten</w:t>
      </w:r>
    </w:p>
    <w:p>
      <w:r>
        <w:rPr>
          <w:color w:val="555555"/>
          <w:sz w:val="18"/>
        </w:rPr>
        <w:t xml:space="preserve">Gebührenordnung zum Umweltinformationsgesetz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Gleichzeitig tritt die Umweltinformationsgebührenordnung vom 30. April</w:t>
      </w:r>
    </w:p>
    <w:p>
      <w:r>
        <w:t xml:space="preserve">1993 (GVBl. II S. 618) außer Kraft.</w:t>
      </w:r>
    </w:p>
    <w:p>
      <w:r>
        <w:t xml:space="preserve">Potsdam, den 23. Mai 2007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3 BbgUIGGebO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https://recht.nulegal.eu/gesetze/BbgUIGGebO/3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