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BbgUIGGebO (Brandenburg) — Ablehnung von Anträgen</w:t>
      </w:r>
    </w:p>
    <w:p>
      <w:r>
        <w:rPr>
          <w:color w:val="555555"/>
          <w:sz w:val="18"/>
        </w:rPr>
        <w:t xml:space="preserve">Gebührenordnung zum Umweltinformationsgesetz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Ablehnung von Anträgen ist nicht gebührenpflichtig.</w:t>
      </w:r>
    </w:p>
    <w:p>
      <w:r>
        <w:rPr>
          <w:color w:val="555555"/>
          <w:sz w:val="17"/>
        </w:rPr>
        <w:t xml:space="preserve">Zitiervorschlag: § 2 BbgUIGGebO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https://recht.nulegal.eu/gesetze/BbgUIGGebO/2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