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BbgUIG (Brandenburg) — Inkrafttreten</w:t>
      </w:r>
    </w:p>
    <w:p>
      <w:r>
        <w:rPr>
          <w:color w:val="555555"/>
          <w:sz w:val="18"/>
        </w:rPr>
        <w:t xml:space="preserve">Umweltinformationsgesetz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1 Dieses Gesetz dient der Umsetzung der Richtlinie 2003/4/ EG des Europäischen Parlaments und des Rates vom 28. Januar 2003 über den Zugang der Öffentlichkeit zu Umweltinformationen und zur Aufhebung der Richtlinie 90/313/ EWG ( ABl. EG Nr. L 41 S. 26).</w:t>
      </w:r>
    </w:p>
    <w:p>
      <w:r>
        <w:t xml:space="preserve">Potsdam, den 26. März 2007</w:t>
      </w:r>
    </w:p>
    <w:p>
      <w:r>
        <w:t xml:space="preserve">Der Präsident 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7 BbgUIG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https://recht.nulegal.eu/gesetze/BbgUIG/7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