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BbgUIG (Brandenburg) — Rechtsschutz</w:t>
      </w:r>
    </w:p>
    <w:p>
      <w:r>
        <w:rPr>
          <w:color w:val="555555"/>
          <w:sz w:val="18"/>
        </w:rPr>
        <w:t xml:space="preserve">Umweltinformationsgesetz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Streitigkeiten um Ansprüche aus diesem Gesetz ist der Verwaltungsrechtsweg eröffnet, auch wenn sich der Rechtsstreit gegen eine private informationspflichtige Stelle richtet.</w:t>
      </w:r>
    </w:p>
    <w:p>
      <w:r>
        <w:t xml:space="preserve">(2) § 6 Abs. 3 und 4 des Umweltinformationsgesetzes des Bundes gilt entsprechend.</w:t>
      </w:r>
    </w:p>
    <w:p>
      <w:r>
        <w:rPr>
          <w:color w:val="555555"/>
          <w:sz w:val="17"/>
        </w:rPr>
        <w:t xml:space="preserve">Zitiervorschlag: § 3 BbgUIG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https://recht.nulegal.eu/gesetze/BbgUIG/3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