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BbgUIG (Brandenburg) — Anwendung des Umweltinformationsgesetzes des Bundes</w:t>
      </w:r>
    </w:p>
    <w:p>
      <w:r>
        <w:rPr>
          <w:color w:val="555555"/>
          <w:sz w:val="18"/>
        </w:rPr>
        <w:t xml:space="preserve">Umweltinformationsgesetz des Landes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Für den Zugang zu Umweltinformationen und für die aktive Verbreitung von Umweltinformationen sowie für die Begriffsbestimmungen gelten mit Ausnahme des § 6 Abs. 1 und 2 sowie der §§ 11 bis 14 die bundesrechtlichen Vorschriften des Umweltinformationsgesetzes vom 22. Dezember 2004 ( BGBl. I S. 3704) in der jeweils geltenden Fassung entsprechend, soweit die folgenden Vorschriften keine abweichenden Regelungen treffen.</w:t>
      </w:r>
    </w:p>
    <w:p>
      <w:r>
        <w:rPr>
          <w:color w:val="555555"/>
          <w:sz w:val="17"/>
        </w:rPr>
        <w:t xml:space="preserve">Zitiervorschlag: § 1 BbgUIG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https://recht.nulegal.eu/gesetze/BbgUIG/1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