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BbgTGV (Brandenburg) — In-Kraft-Treten</w:t>
      </w:r>
    </w:p>
    <w:p>
      <w:r>
        <w:rPr>
          <w:color w:val="555555"/>
          <w:sz w:val="18"/>
        </w:rPr>
        <w:t xml:space="preserve">Brandenburgische Trennungsgeldverordnung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Diese Verordnung tritt am ersten Tag des auf die Verkündung folgenden Kalendermonats in Kraft. § 3a tritt mit Wirkung vom 1. Juli 2025 in Kraft und mit Ablauf des 31. Dezember 2030 außer Kraft. Abweichend von Satz 2 tritt § 3a für alle Maßnahmen des Verwaltungsumbaus im Sinne des § 3a Absatz 2, die seit dem 27. Oktober 2008 wirksam geworden sind und zum Zeitpunkt des Inkrafttretens des § 3a noch andauern, mit Wirkung vom 27. Oktober 2008 in Kraft.</w:t>
      </w:r>
    </w:p>
    <w:p>
      <w:r>
        <w:t xml:space="preserve">Potsdam, den 5. April 2005</w:t>
      </w:r>
    </w:p>
    <w:p>
      <w:r>
        <w:t xml:space="preserve">Der Minister der Finanzen</w:t>
      </w:r>
    </w:p>
    <w:p>
      <w:r>
        <w:t xml:space="preserve">Rainer Speer</w:t>
      </w:r>
    </w:p>
    <w:p>
      <w:r>
        <w:rPr>
          <w:color w:val="555555"/>
          <w:sz w:val="17"/>
        </w:rPr>
        <w:t xml:space="preserve">Zitiervorschlag: § 6 BbgTGV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https://recht.nulegal.eu/gesetze/BbgTGV/6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