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BbgTGV (Brandenburg) — Verfahrensvorschriften</w:t>
      </w:r>
    </w:p>
    <w:p>
      <w:r>
        <w:rPr>
          <w:color w:val="555555"/>
          <w:sz w:val="18"/>
        </w:rPr>
        <w:t xml:space="preserve">Brandenburgische Trennungsgeldverordnung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Anstelle der Ausschlussfristen des § 9 Absatz 1 Satz 1 und 2 der Trennungsgeldverordnung von einem Jahr treten Ausschlussfristen von sechs Monaten.</w:t>
      </w:r>
    </w:p>
    <w:p>
      <w:r>
        <w:t xml:space="preserve">(2) In Fällen einer vor dem In-Kraft-Treten dieser Verordnung begonnenen dienstlichen Maßnahme nach § 1 Absatz 2 der Trennungsgeldverordnung ist Absatz 1 nicht anzuwenden.</w:t>
      </w:r>
    </w:p>
    <w:p>
      <w:r>
        <w:rPr>
          <w:color w:val="555555"/>
          <w:sz w:val="17"/>
        </w:rPr>
        <w:t xml:space="preserve">Zitiervorschlag: § 5 BbgTGV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https://recht.nulegal.eu/gesetze/BbgTGV/5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