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BbgTGV (Brandenburg) — Trennungsgeld beim auswärtigen Verbleiben</w:t>
      </w:r>
    </w:p>
    <w:p>
      <w:r>
        <w:rPr>
          <w:color w:val="555555"/>
          <w:sz w:val="18"/>
        </w:rPr>
        <w:t xml:space="preserve">Brandenburgische Trennungsgeldverordnung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Trennungsreisegeld nach § 3 Absatz 1 Satz 1 der Trennungsgeldverordnung wird für die ersten sieben Tage nach beendeter Dienstantrittsreise gewährt. Die oberste Dienstbehörde kann bei Vorliegen triftiger Gründe abweichend von Satz 1 das Trennungsreisegeld bis zu weiteren sieben Tagen bewilligen.</w:t>
      </w:r>
    </w:p>
    <w:p>
      <w:r>
        <w:t xml:space="preserve">(2) Trennungsgeld für die Zeit nach dem Ende der Gewährung des Trennungsreisegeldes nach Absatz 1 bestimmt sich im Übrigen nach § 3 Absatz 2 der Trennungsgeldverordnung.</w:t>
      </w:r>
    </w:p>
    <w:p>
      <w:r>
        <w:rPr>
          <w:color w:val="555555"/>
          <w:sz w:val="17"/>
        </w:rPr>
        <w:t xml:space="preserve">Zitiervorschlag: § 2 BbgTGV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https://recht.nulegal.eu/gesetze/BbgTGV/2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