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BbgSubvG (Brandenburg) — Geltung des Subventionsgesetzes des Bundes</w:t>
      </w:r>
    </w:p>
    <w:p>
      <w:r>
        <w:rPr>
          <w:color w:val="555555"/>
          <w:sz w:val="18"/>
        </w:rPr>
        <w:t xml:space="preserve">Brandenburgisches Subventionsgesetz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Leistungen nach Landesrecht, die Subventionen im Sinne des</w:t>
      </w:r>
    </w:p>
    <w:p>
      <w:r>
        <w:t xml:space="preserve">§ 264 des Strafgesetzbuches sind, gelten die §§ 2 bis 6</w:t>
      </w:r>
    </w:p>
    <w:p>
      <w:r>
        <w:t xml:space="preserve">des Gesetzes gegen mißbräuchliche Inanspruchnahme von Subventionen</w:t>
      </w:r>
    </w:p>
    <w:p>
      <w:r>
        <w:t xml:space="preserve">vom 29. Juli 1976 (BGBl. I S. 2034, 2037).</w:t>
      </w:r>
    </w:p>
    <w:p>
      <w:r>
        <w:rPr>
          <w:color w:val="555555"/>
          <w:sz w:val="17"/>
        </w:rPr>
        <w:t xml:space="preserve">Zitiervorschlag: § 1 BbgSubvG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https://recht.nulegal.eu/gesetze/BbgSubvG/1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