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BbgStrPlanSiG (Brandenburg) — Inkrafttreten, Außerkrafttreten</w:t>
      </w:r>
    </w:p>
    <w:p>
      <w:r>
        <w:rPr>
          <w:color w:val="555555"/>
          <w:sz w:val="18"/>
        </w:rPr>
        <w:t xml:space="preserve">Brandenburgisches Straßenplanungssicherstellungsgesetz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Die §§ 1 bis 5 dieses Gesetzes treten mit Ablauf des 31. Dezember 2022 außer Kraft. Im Übrigen tritt das Gesetz mit Ablauf des 30. September 2027 außer Kraft.</w:t>
      </w:r>
    </w:p>
    <w:p>
      <w:r>
        <w:t xml:space="preserve">Einzelnorm</w:t>
      </w:r>
    </w:p>
    <w:p>
      <w:r>
        <w:t xml:space="preserve">Potsdam, den 4. März 2021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rPr>
          <w:color w:val="555555"/>
          <w:sz w:val="17"/>
        </w:rPr>
        <w:t xml:space="preserve">Zitiervorschlag: § 7 BbgStrPlanSiG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https://recht.nulegal.eu/gesetze/BbgStrPlanSiG/7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