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BbgStrPlanSiG (Brandenburg) — Ortsübliche und öffentliche Bekanntmachungen</w:t>
      </w:r>
    </w:p>
    <w:p>
      <w:r>
        <w:rPr>
          <w:color w:val="555555"/>
          <w:sz w:val="18"/>
        </w:rPr>
        <w:t xml:space="preserve">Brandenburgisches Straßenplanungssicherstellungsgesetz</w:t>
      </w:r>
    </w:p>
    <w:p>
      <w:r>
        <w:rPr>
          <w:color w:val="555555"/>
          <w:sz w:val="18"/>
        </w:rPr>
        <w:t xml:space="preserve">Landesrecht Brandenburg</w:t>
      </w:r>
    </w:p>
    <w:p>
      <w:r>
        <w:rPr>
          <w:color w:val="555555"/>
          <w:sz w:val="18"/>
        </w:rPr>
        <w:t xml:space="preserve">Stand: 23.08.2026 (konsolidierte Textfassung, kein amtliches Inkrafttretensdatum)</w:t>
      </w:r>
    </w:p>
    <w:p>
      <w:r>
        <w:t xml:space="preserve">(1) Ist für die ortsübliche oder öffentliche Bekanntmachung nach den dafür geltenden Vorschriften der Anschlag an einer Amtstafel oder die Auslegung zur Einsichtnahme vorgesehen, so können der Anschlag oder die Auslegung durch eine Veröffentlichung des Inhalts der Bekanntmachung im Internet ersetzt werden, wenn die jeweilige Bekanntmachungsfrist spätestens mit Ablauf des 31. Dezember 2022 endet. Zusätzlich hat zumindest eine Bekanntmachung in einem amtlichen Veröffentlichungsblatt oder einer örtlichen Tageszeitung zu erfolgen.</w:t>
      </w:r>
    </w:p>
    <w:p>
      <w:r>
        <w:t xml:space="preserve">(2) Für die Veröffentlichung im Internet gilt § 27a Absatz 1 Satz 2 und Absatz 2 des Verwaltungsverfahrensgesetzes entsprechend.</w:t>
      </w:r>
    </w:p>
    <w:p>
      <w:r>
        <w:t xml:space="preserve">Einzelnorm</w:t>
      </w:r>
    </w:p>
    <w:p>
      <w:r>
        <w:rPr>
          <w:color w:val="555555"/>
          <w:sz w:val="17"/>
        </w:rPr>
        <w:t xml:space="preserve">Zitiervorschlag: § 2 BbgStrPlanSiG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https://recht.nulegal.eu/gesetze/BbgStrPlanSiG/2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