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BbgStrKV (Brandenburg) — Einmündungen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vorstehenden Vorschriften gelten auch für</w:t>
      </w:r>
    </w:p>
    <w:p>
      <w:r>
        <w:t xml:space="preserve">Einmündungen öffentlicher Straßen in andere öffentliche</w:t>
      </w:r>
    </w:p>
    <w:p>
      <w:r>
        <w:t xml:space="preserve">Straßen.</w:t>
      </w:r>
    </w:p>
    <w:p>
      <w:r>
        <w:rPr>
          <w:color w:val="555555"/>
          <w:sz w:val="17"/>
        </w:rPr>
        <w:t xml:space="preserve">Zitiervorschlag: § 5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