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BbgStrKV (Brandenburg) — Kreuzungen zwischen Straßen gleicher Verkehrsbedeutung</w:t>
      </w:r>
    </w:p>
    <w:p>
      <w:r>
        <w:rPr>
          <w:color w:val="555555"/>
          <w:sz w:val="18"/>
        </w:rPr>
        <w:t xml:space="preserve">Brandenburgische Straßenkreuzungsverordnung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Kreuzungen zwischen Straßen gleicher</w:t>
      </w:r>
    </w:p>
    <w:p>
      <w:r>
        <w:t xml:space="preserve">Verkehrsbedeutung, die von unterschiedlichen Straßenbaulastträgern</w:t>
      </w:r>
    </w:p>
    <w:p>
      <w:r>
        <w:t xml:space="preserve">unterhalten werden, ist diese Verordnung mit der Maßgabe anzuwenden,</w:t>
      </w:r>
    </w:p>
    <w:p>
      <w:r>
        <w:t xml:space="preserve">daß die von dem Baulastträger, der im allgemeinen Straßen</w:t>
      </w:r>
    </w:p>
    <w:p>
      <w:r>
        <w:t xml:space="preserve">geringerer Verkehrsbedeutung unterhält, unterhaltene Straße als</w:t>
      </w:r>
    </w:p>
    <w:p>
      <w:r>
        <w:t xml:space="preserve">kreuzende Straße gilt.</w:t>
      </w:r>
    </w:p>
    <w:p>
      <w:r>
        <w:t xml:space="preserve">(2) Soweit verschiedene, gleichrangige</w:t>
      </w:r>
    </w:p>
    <w:p>
      <w:r>
        <w:t xml:space="preserve">Straßenbaulastträger Kreuzungsbeteiligte an Kreuzungen von</w:t>
      </w:r>
    </w:p>
    <w:p>
      <w:r>
        <w:t xml:space="preserve">Straßen mit gleicher Verkehrsbedeutung sind, hat jeder Beteiligte die</w:t>
      </w:r>
    </w:p>
    <w:p>
      <w:r>
        <w:t xml:space="preserve">Kreuzungsanlage insoweit zu unterhalten, wie diese sich in seinem</w:t>
      </w:r>
    </w:p>
    <w:p>
      <w:r>
        <w:t xml:space="preserve">Zuständigkeitsbereich befindet, es sei denn, eine andere Vereinbarung</w:t>
      </w:r>
    </w:p>
    <w:p>
      <w:r>
        <w:t xml:space="preserve">wurde getroffen.</w:t>
      </w:r>
    </w:p>
    <w:p>
      <w:r>
        <w:rPr>
          <w:color w:val="555555"/>
          <w:sz w:val="17"/>
        </w:rPr>
        <w:t xml:space="preserve">Zitiervorschlag: § 4 BbgStrKV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https://recht.nulegal.eu/gesetze/BbgStrKV/4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