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BbgStrKV (Brandenburg) — Sonstige Teile der Kreuzungsanlage</w:t>
      </w:r>
    </w:p>
    <w:p>
      <w:r>
        <w:rPr>
          <w:color w:val="555555"/>
          <w:sz w:val="18"/>
        </w:rPr>
        <w:t xml:space="preserve">Brandenburgische Straßenkreuzungsverordnung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den §§ 1 und 2 nicht erfaßten Teile der</w:t>
      </w:r>
    </w:p>
    <w:p>
      <w:r>
        <w:t xml:space="preserve">sich kreuzenden Straßen gehören zu der Straße, der sie</w:t>
      </w:r>
    </w:p>
    <w:p>
      <w:r>
        <w:t xml:space="preserve">unmittelbar dienen.</w:t>
      </w:r>
    </w:p>
    <w:p>
      <w:r>
        <w:rPr>
          <w:color w:val="555555"/>
          <w:sz w:val="17"/>
        </w:rPr>
        <w:t xml:space="preserve">Zitiervorschlag: § 3 BbgStrKV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https://recht.nulegal.eu/gesetze/BbgStrKV/3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