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BbgStrKV (Brandenburg) — Über- und Unterführungen</w:t>
      </w:r>
    </w:p>
    <w:p>
      <w:r>
        <w:rPr>
          <w:color w:val="555555"/>
          <w:sz w:val="18"/>
        </w:rPr>
        <w:t xml:space="preserve">Brandenburgische Straßenkreuzungsverordnung</w:t>
      </w:r>
    </w:p>
    <w:p>
      <w:r>
        <w:rPr>
          <w:color w:val="555555"/>
          <w:sz w:val="18"/>
        </w:rPr>
        <w:t xml:space="preserve">Landesrecht Brandenburg</w:t>
      </w:r>
    </w:p>
    <w:p>
      <w:r>
        <w:rPr>
          <w:color w:val="555555"/>
          <w:sz w:val="18"/>
        </w:rPr>
        <w:t xml:space="preserve">Stand: 02.08.2026 (konsolidierte Textfassung, kein amtliches Inkrafttretensdatum)</w:t>
      </w:r>
    </w:p>
    <w:p>
      <w:r>
        <w:t xml:space="preserve">(1) Zum Kreuzungsbauwerk im Sinne des § 30 Abs. 2 des</w:t>
      </w:r>
    </w:p>
    <w:p>
      <w:r>
        <w:t xml:space="preserve">Brandenburgischen Straßengesetzes gehören</w:t>
      </w:r>
    </w:p>
    <w:p>
      <w:r>
        <w:t xml:space="preserve">die Widerlager mit Flügelmauern,</w:t>
      </w:r>
    </w:p>
    <w:p>
      <w:r>
        <w:t xml:space="preserve">die Pfeiler,</w:t>
      </w:r>
    </w:p>
    <w:p>
      <w:r>
        <w:t xml:space="preserve">der Überbau mit Geländern, Brüstungen und</w:t>
      </w:r>
    </w:p>
    <w:p>
      <w:r>
        <w:t xml:space="preserve">Auffangvorrichtungen, jedoch mit Ausnahme der Straßendecke, der</w:t>
      </w:r>
    </w:p>
    <w:p>
      <w:r>
        <w:t xml:space="preserve">Entwässerungsrinnen und Einläufe und, soweit sie nicht durch die</w:t>
      </w:r>
    </w:p>
    <w:p>
      <w:r>
        <w:t xml:space="preserve">Konstruktion der Brücke bedingt sind, der Verkehrszeichen und</w:t>
      </w:r>
    </w:p>
    <w:p>
      <w:r>
        <w:t xml:space="preserve">-einrichtungen sowie Verkehrsanlagen aller Art.</w:t>
      </w:r>
    </w:p>
    <w:p>
      <w:r>
        <w:t xml:space="preserve">(2) Die nicht zum Kreuzungsbauwerk rechnenden Teile des</w:t>
      </w:r>
    </w:p>
    <w:p>
      <w:r>
        <w:t xml:space="preserve">Überbaues (Absatz 1 Nr. 3) gehören zu der Straße, in deren</w:t>
      </w:r>
    </w:p>
    <w:p>
      <w:r>
        <w:t xml:space="preserve">Verlauf sie liegen.</w:t>
      </w:r>
    </w:p>
    <w:p>
      <w:r>
        <w:t xml:space="preserve">(3) Verbindungsarme zwischen der Straße höherer</w:t>
      </w:r>
    </w:p>
    <w:p>
      <w:r>
        <w:t xml:space="preserve">Verkehrsbedeutung und der kreuzenden Straße gehören zur Straße</w:t>
      </w:r>
    </w:p>
    <w:p>
      <w:r>
        <w:t xml:space="preserve">der höheren Verkehrsbedeutung. Die Verbindungsarme enden am</w:t>
      </w:r>
    </w:p>
    <w:p>
      <w:r>
        <w:t xml:space="preserve">äußeren Fahrbahnrand der kreuzenden Straße. Sind Abbiege- oder</w:t>
      </w:r>
    </w:p>
    <w:p>
      <w:r>
        <w:t xml:space="preserve">Einfädelstreifen auf der kreuzenden Straße vorhanden, so enden die</w:t>
      </w:r>
    </w:p>
    <w:p>
      <w:r>
        <w:t xml:space="preserve">Verbindungsarme am Anfang der Eckausrundungen der kreuzenden Straße. Bei</w:t>
      </w:r>
    </w:p>
    <w:p>
      <w:r>
        <w:t xml:space="preserve">höhenungleichen Einmündungen beginnen die Verbindungsarme an der</w:t>
      </w:r>
    </w:p>
    <w:p>
      <w:r>
        <w:t xml:space="preserve">ersten Aufweitung der einmündenden Straße. Lichtzeichenanlagen und</w:t>
      </w:r>
    </w:p>
    <w:p>
      <w:r>
        <w:t xml:space="preserve">Verkehrsinseln an der Einmündung des Verbindungsarmes gehören zur</w:t>
      </w:r>
    </w:p>
    <w:p>
      <w:r>
        <w:t xml:space="preserve">Straße der höheren Verkehrsbedeutung.</w:t>
      </w:r>
    </w:p>
    <w:p>
      <w:r>
        <w:rPr>
          <w:color w:val="555555"/>
          <w:sz w:val="17"/>
        </w:rPr>
        <w:t xml:space="preserve">Zitiervorschlag: § 2 BbgStrKV (Brandenburg)</w:t>
      </w:r>
    </w:p>
    <w:p>
      <w:r>
        <w:rPr>
          <w:color w:val="555555"/>
          <w:sz w:val="17"/>
        </w:rPr>
        <w:t xml:space="preserve">Quelle: bravors, abgerufen 02.08.2026</w:t>
      </w:r>
    </w:p>
    <w:p>
      <w:r>
        <w:rPr>
          <w:color w:val="555555"/>
          <w:sz w:val="17"/>
        </w:rPr>
        <w:t xml:space="preserve">Nicht-amtliche Lesefassung — verbindlich ist das Gesetz- und Verordnungsblatt für das Land Brandenburg (landesrecht.brandenburg.de: https://www.landesrecht.brandenburg.de)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https://recht.nulegal.eu/gesetze/BbgStrKV/2</w:t>
      </w:r>
    </w:p>
    <w:p>
      <w:r>
        <w:rPr>
          <w:color w:val="767676"/>
          <w:sz w:val="15"/>
        </w:rPr>
        <w:t xml:space="preserve">nu:legal · recht.nulegal.eu · Nicht-amtliche Lesefassung. Amtliche Fassung: landesrecht.brandenburg.de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