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9a BbgStrG (Brandenburg) — Straßenbaulastträger</w:t>
      </w:r>
    </w:p>
    <w:p>
      <w:r>
        <w:rPr>
          <w:color w:val="555555"/>
          <w:sz w:val="18"/>
        </w:rPr>
        <w:t xml:space="preserve">Brandenburgisches Straßengesetz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Land ist Träger der Straßenbaulast für die Landesstraßen und die Radschnellverbindungen des Landes. Die Landkreise und die kreisfreien Städte sind Träger der Straßenbaulast für die Kreisstraßen. Die Gemeinden sind Baulastträger der Gemeindestraßen. Der Träger der Straßenbaulast für sonstige öffentliche Straßen wird in der Widmungs- oder Umstufungsverfügung bestimmt. Ist der Träger der Straßenbaulast bei öffentlichen Straßen nicht feststellbar, so liegt die Baulast bis zu einer anderen Festlegung bei der Gemeinde.</w:t>
      </w:r>
    </w:p>
    <w:p>
      <w:r>
        <w:t xml:space="preserve">(2) Die Gemeinden mit mehr als 50 000 Einwohnern sind Träger der Straßenbaulast für die Ortsdurchfahrten im Zuge von Landesstraßen und Kreisstraßen. Als Einwohnerzahl im Sinne dieses Gesetzes gilt die zum 31. Dezember der letzten drei aufeinander folgenden Jahre amtlich festgestellte Einwohnerzahl. Soweit dem Land oder den Landkreisen die Straßenbaulast für die Ortsdurchfahrten obliegt, erstreckt sich diese nicht auf Gehwege, gemeinsame Geh- und Radwege sowie Parkplätze; insoweit ist die Gemeinde Träger der Straßenbaulast.</w:t>
      </w:r>
    </w:p>
    <w:p>
      <w:r>
        <w:t xml:space="preserve">(3) Werden Gemeindegrenzen geändert oder neue Gemeinden gebildet, so ist die amtlich festgestellte Einwohnerzahl des neuen Gemeindegebietes maßgebend. In diesen Fällen wechselt die Straßenbaulast für die Ortsdurchfahrten, wenn sie bisher dem Land oder einem Landkreis oblag, spätestens mit Beginn des dritten Haushaltsjahres nach dem Jahr der Gebietsänderung, sonst mit der Gebietsänderung.</w:t>
      </w:r>
    </w:p>
    <w:p>
      <w:r>
        <w:t xml:space="preserve">(4) Eine Gemeinde mit mehr als 10 000, aber weniger als 50 000 Einwohnern kann Träger der Straßenbaulast für die Ortsdurchfahrten werden, wenn sie es mit Zustimmung der Kommunalaufsichtsbehörde gegenüber dem für den Straßenbau zuständigen Mitglied der Landesregierung erklärt. Absatz 2 Satz 2 und Absatz 3 Satz 1 gelten sinngemäß. Die Kommunalaufsichtsbehörde darf ihre Zustimmung nur versagen, wenn Tatsachen vorliegen, die die Leistungsfähigkeit der Gemeinde zur Übernahme der Straßenbaulast ausschließen.</w:t>
      </w:r>
    </w:p>
    <w:p>
      <w:r>
        <w:t xml:space="preserve">(5) Die Absätze 1 und 2 finden keine Anwendung, soweit die Straßenbaulast oder eine sonstige Verpflichtung zur Herstellung oder Unterhaltung von Straßen oder Straßenteilen nach anderen gesetzlichen Vorschriften Dritten obliegt oder diesen in öffentlich-rechtlich wirksamer Weise übertragen wird.</w:t>
      </w:r>
    </w:p>
    <w:p>
      <w:r>
        <w:rPr>
          <w:color w:val="555555"/>
          <w:sz w:val="17"/>
        </w:rPr>
        <w:t xml:space="preserve">Zitiervorschlag: § 9a BbgStrG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https://recht.nulegal.eu/gesetze/BbgStrG/9a</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