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49 BbgStrG (Brandenburg) — Aufhebung von Rechtsvorschriften</w:t>
      </w:r>
    </w:p>
    <w:p>
      <w:r>
        <w:rPr>
          <w:color w:val="555555"/>
          <w:sz w:val="18"/>
        </w:rPr>
        <w:t xml:space="preserve">Brandenburgisches Straßengesetz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Mit dem Inkrafttreten dieses Gesetzes treten folgende Rechtsvorschriften, soweit sie nach Artikel 9 Abs. 1 des Einigungsvertrages vom 31. August 1990 ( BGBl. II S. 885) fortgelten, außer Kraft:</w:t>
      </w:r>
    </w:p>
    <w:p>
      <w:r>
        <w:t xml:space="preserve">Verordnung vom 22. August 1974 über die öffentlichen Straßen - Straßenverordnung - ( GBl. I S. 515),</w:t>
      </w:r>
    </w:p>
    <w:p>
      <w:r>
        <w:t xml:space="preserve">Erste Durchführungsbestimmung zur Straßenverordnung vom 22. August 1974 (GBl. I S. 522),</w:t>
      </w:r>
    </w:p>
    <w:p>
      <w:r>
        <w:t xml:space="preserve">Zweite Durchführungsbestimmung zur Straßenverordnung vom 14. Mai 1984 - Sperrordnung - (GBl. I S. 259).</w:t>
      </w:r>
    </w:p>
    <w:p>
      <w:r>
        <w:rPr>
          <w:color w:val="555555"/>
          <w:sz w:val="17"/>
        </w:rPr>
        <w:t xml:space="preserve">Zitiervorschlag: § 49 BbgStrG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https://recht.nulegal.eu/gesetze/BbgStrG/49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