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BbgStrG (Brandenburg) — Straßenverzeichnisse und Straßennummern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öffentlichen Straßen werden Straßenverzeichnisse geführt. Die oberste Straßenbaubehörde bestimmt die Nummerierung der Landesstraßen sowie der Radschnellverbindungen des Landes, die Landkreise bestimmen die Nummerierung der Kreisstraßen. Für Gemeindestraßen und sonstige öffentliche Straßen können die Verzeichnisse in vereinfachter Form eingerichtet werden. Die Einsicht in die Verzeichnisse steht jedermann frei.</w:t>
      </w:r>
    </w:p>
    <w:p>
      <w:r>
        <w:t xml:space="preserve">(2) Das für den Straßenbau zuständige Mitglied der Landesregierung wird ermächtigt, im Einvernehmen mit dem für Inneres zuständigen Mitglied der Landesregierung durch Rechtsverordnung die Zuständigkeit der Behörden, die Einrichtung und den Inhalt der Straßenverzeichnisse und die Einsichtnahme in diese zu regeln.</w:t>
      </w:r>
    </w:p>
    <w:p>
      <w:r>
        <w:rPr>
          <w:color w:val="555555"/>
          <w:sz w:val="17"/>
        </w:rPr>
        <w:t xml:space="preserve">Zitiervorschlag: § 4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