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BbgStrG (Brandenburg) — Vorarbeiten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Eigentümer und sonstige Nutzungsberechtigte haben zur Vorbereitung der Planung und der Baudurchführung notwendige Vermessungen, Boden- und Grundwasseruntersuchungen einschließlich der vorübergehenden Anbringung von Markierungszeichen und sonstige Vorarbeiten durch die Straßenbaubehörde oder von ihr Beauftragte zu dulden. Wohnungen dürfen nur mit Zustimmung des Wohnungsinhabers betreten werden. Satz 2 gilt nicht für Arbeits-, Betriebs- oder Geschäftsräume während der jeweiligen Arbeits-, Geschäfts- oder Aufenthaltszeiten. Das Betreten eingefriedeter Grundstücke soll mit dem Besitzer abgestimmt werden.</w:t>
      </w:r>
    </w:p>
    <w:p>
      <w:r>
        <w:t xml:space="preserve">(2) Die Absicht, solche Arbeiten auszuführen, ist dem Eigentümer oder sonstigen Nutzungsberechtigten mindestens zwei Wochen vorher unmittelbar oder durch ortsübliche Bekanntmachung in den Gemeinden, in deren Bereich die Vorarbeiten durchzuführen sind, bekannt zu geben.</w:t>
      </w:r>
    </w:p>
    <w:p>
      <w:r>
        <w:t xml:space="preserve">(3) Entstehen durch eine Maßnahme nach Absatz 1 einem Eigentümer oder sonstigen Nutzungsberechtigten unmittelbare Vermögensnachteile, so hat der Träger der Straßenbaulast eine angemessene Entschädigung in Geld zu leisten. Kommt eine Einigung über die Geldentschädigung nicht zustande, so setzt die Enteignungsbehörde auf Antrag der Straßenbaubehörde oder des Berechtigten die Entschädigung fest. Vor der Entscheidung sind die Beteiligten zu hören.</w:t>
      </w:r>
    </w:p>
    <w:p>
      <w:r>
        <w:rPr>
          <w:color w:val="555555"/>
          <w:sz w:val="17"/>
        </w:rPr>
        <w:t xml:space="preserve">Zitiervorschlag: § 37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