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BbgStrG (Brandenburg) — Umleitungen</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vorübergehender Beschränkung des Gemeingebrauchs auf einer Straße sind die Träger der Straßenbaulast anderer öffentlicher Straßen einschließlich der Bundesfernstraßen verpflichtet, die Umleitungen des Verkehrs auf ihren Straßen zu dulden.</w:t>
      </w:r>
    </w:p>
    <w:p>
      <w:r>
        <w:t xml:space="preserve">(2) Vor Anordnung einer Beschränkung sind der Träger der Straßenbaulast der Umleitungsstrecke, die Straßenverkehrsbehörden und die Gemeinden, deren Gebiet die Straße berührt, zu unterrichten.</w:t>
      </w:r>
    </w:p>
    <w:p>
      <w:r>
        <w:t xml:space="preserve">(3) Die Straßenbaubehörde hat im Benehmen mit dem Träger der Straßenbaulast der Umleitungsstrecke festzustellen, welche straßenbaulichen und sonstigen Maßnahmen notwendig sind, um die Umleitungsstrecke für die Aufnahme des zusätzlichen Verkehrs verkehrssicher zu machen. Die hierfür notwendigen Mehraufwendungen sind dem Träger der Straßenbaulast der Umleitungsstrecke vom Veranlasser zu erstatten. Dies gilt auch für Aufwendungen, die dem Träger der Straßenbaulast der Umleitungsstrecke zur Beseitigung nachweislich durch die Umleitung verursachter Schäden entstehen.</w:t>
      </w:r>
    </w:p>
    <w:p>
      <w:r>
        <w:t xml:space="preserve">(4) Muss die Umleitung ganz oder zum Teil über private Wege geleitet werden, die dem öffentlichen Verkehr dienen, so ist der Eigentümer zur Duldung der Umleitung auf schriftliche oder elektronische Anforderung durch die Straßenbaubehörde verpflichtet. Absatz 3 Satz 1 und 2 gilt entsprechend. Der Träger der Straßenbaulast ist verpflichtet, auf Antrag des Eigentümers den privaten Weg für die Aufnahme des Umleitungsverkehrs herzurichten bzw. nach Aufhebung den früheren Zustand des Weges wiederherzustellen.</w:t>
      </w:r>
    </w:p>
    <w:p>
      <w:r>
        <w:t xml:space="preserve">(5) Die Absätze 1 bis 4 gelten entsprechend, wenn neue Landes- oder Kreisstraßen vorübergehend über andere dem öffentlichen Verkehr dienende Straßen und Wege an das Straßennetz angeschlossen werden müssen.</w:t>
      </w:r>
    </w:p>
    <w:p>
      <w:r>
        <w:rPr>
          <w:color w:val="555555"/>
          <w:sz w:val="17"/>
        </w:rPr>
        <w:t xml:space="preserve">Zitiervorschlag: § 34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