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BbgStrG (Brandenburg) — Ermächtigung zu Rechtsverordnungen</w:t>
      </w:r>
    </w:p>
    <w:p>
      <w:r>
        <w:rPr>
          <w:color w:val="555555"/>
          <w:sz w:val="18"/>
        </w:rPr>
        <w:t xml:space="preserve">Brandenburgisches Straßengesetz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den Straßenbau zuständige Mitglied der Landesregierung wird ermächtigt, Rechtsverordnungen zu erlassen, durch die</w:t>
      </w:r>
    </w:p>
    <w:p>
      <w:r>
        <w:t xml:space="preserve">der Umfang der Kosten nach den §§ 29, 30, 31 und 32 näher bestimmt wird;</w:t>
      </w:r>
    </w:p>
    <w:p>
      <w:r>
        <w:t xml:space="preserve">näher bestimmt wird, welche Straßenanlagen zur Kreuzungsanlage und welche Teile einer Kreuzung nach § 30 Abs. 1 und 2 zu der einen oder anderen Straße gehören.</w:t>
      </w:r>
    </w:p>
    <w:p>
      <w:r>
        <w:t xml:space="preserve">Im Falle der §§ 31 und 32 ist die Rechtsverordnung im Einvernehmen mit dem für die Wasserwirtschaft zuständigen Mitglied der Landesregierung zu erlassen.</w:t>
      </w:r>
    </w:p>
    <w:p>
      <w:r>
        <w:rPr>
          <w:color w:val="555555"/>
          <w:sz w:val="17"/>
        </w:rPr>
        <w:t xml:space="preserve">Zitiervorschlag: § 33 BbgStrG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https://recht.nulegal.eu/gesetze/BbgStrG/33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