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BbgStrG (Brandenburg) — Unterhaltung der Kreuzungen mit Gewässern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der Straßenbaulast hat die Kreuzungsanlagen von Straßen und Gewässern auf seine Kosten zu unterhalten, soweit nichts anderes vereinbart oder durch Planfeststellung bestimmt wird. Die Unterhaltungspflicht des Trägers der Straßenbaulast erstreckt sich nicht auf Leitwerke, Leitpfähle, Dalben, Absetzpfähle oder ähnliche Einrichtungen zur Sicherung der Durchfahrten unter Brücken im Zuge von Straßen für die Schifffahrt sowie auf Schifffahrtszeichen. Soweit diese Einrichtungen auf Kosten des Trägers der Straßenbaulast herzustellen waren, hat dieser dem Unterhaltungspflichtigen die Unterhaltungskosten und die Kosten des Betriebes dieser Einrichtungen zu ersetzen oder abzulösen.</w:t>
      </w:r>
    </w:p>
    <w:p>
      <w:r>
        <w:t xml:space="preserve">(2) Wird im Falle des § 31 Abs. 2 eine neue Kreuzung hergestellt, hat der Träger des Ausbauvorhabens die Mehrkosten für die Unterhaltung und den Betrieb der Kreuzungsanlage zu erstatten oder abzulösen. Ersparte Unterhaltungskosten für den Fortfall vorhandener Kreuzungsanlagen sind anzurechnen.</w:t>
      </w:r>
    </w:p>
    <w:p>
      <w:r>
        <w:rPr>
          <w:color w:val="555555"/>
          <w:sz w:val="17"/>
        </w:rPr>
        <w:t xml:space="preserve">Zitiervorschlag: § 32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