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BbgStrG (Brandenburg) — Sonstige Nutzung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Einräumung von Rechten zur Benutzung des Eigentums der Straßen richtet sich nach bürgerlichem Recht, wenn sie die Sicherheit und Leichtigkeit des Verkehrs, den Gemeingebrauch und den Anliegergebrauch nicht beeinträchtigen, wobei eine vorübergehende Beeinträchtigung für Zwecke der öffentlichen Versorgung oder Entsorgung außer Betracht bleibt.</w:t>
      </w:r>
    </w:p>
    <w:p>
      <w:r>
        <w:t xml:space="preserve">(2) In Ortsdurchfahrten, deren Straßenbaulast nicht bei der Gemeinde liegt, hat der Träger der Straßenbaulast auf Antrag der Gemeinde die Verlegung von Leitungen, die für Zwecke der öffentlichen Ver- und Entsorgung der Gemeinde erforderlich sind, unentgeltlich zu gestatten, wenn die Verlegung in die in seiner Baulast befindlichen Straßenteile notwendig ist.</w:t>
      </w:r>
    </w:p>
    <w:p>
      <w:r>
        <w:t xml:space="preserve">(3) Im Übrigen dürfen in Ortsdurchfahrten, deren Straßenbaulast nicht bei der Gemeinde liegt, Versorgungsleitungen sowie Leitungen zur Abwasserentsorgung nur mit Zustimmung der Gemeinde verlegt werden. Die Zustimmung ist zu erteilen, wenn es das Wohl der Allgemeinheit erfordert. Der Zustimmung bedarf es nicht, wenn es sich um Leitungen eines Unternehmens handelt, das das Recht hat, die Gemeindestraßen zur Versorgung des Gemeindegebietes zu benutzen.</w:t>
      </w:r>
    </w:p>
    <w:p>
      <w:r>
        <w:t xml:space="preserve">(4) Soweit eine vertragliche Regelung nicht besteht, gilt § 18 Absatz 5 und 6 entsprechend.</w:t>
      </w:r>
    </w:p>
    <w:p>
      <w:r>
        <w:t xml:space="preserve">(5) Erfolgt eine Straßenentwässerung über eine nicht straßeneigene, von der Gemeinde oder von einem Abwasserzweckverband eingerichtete Abwasseranlage, so beteiligt sich der Träger der Straßenbaulast an den Kosten der Herstellung oder Erneuerung dieser Anlage in dem Umfang, wie es der Bau einer eigenen Straßenentwässerung erfordern würde. Der Gemeinde oder dem Abwasserzweckverband obliegt die schadlose Abführung des Straßenoberflächenwassers. Für die Inanspruchnahme der Entwässerungsanlage ist darüber hinaus kein Entgelt zu erheben.</w:t>
      </w:r>
    </w:p>
    <w:p>
      <w:r>
        <w:rPr>
          <w:color w:val="555555"/>
          <w:sz w:val="17"/>
        </w:rPr>
        <w:t xml:space="preserve">Zitiervorschlag: § 23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