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BbgStrG (Brandenburg) — Sondernutzung durch stationsbasiertes Carsharing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Unbeschadet der sonstigen straßenrechtlichen Bestimmungen zur Sondernutzung kann die Gemeinde zum Zwecke der Nutzung als Stellflächen für stationsbasiertes Carsharing geeignete Flächen einer Ortsdurchfahrt einer Landes- oder Kreisstraße oder geeignete Flächen einer Gemeindestraße bestimmen. § 2 Nummer 1 und 4 sowie § 5 Absatz 1 Satz 3 des Carsharinggesetzes vom 5. Juli 2017 ( BGBl. I S. 2230), das zuletzt durch Artikel 4 des Gesetzes vom 12. Juli 2021 (BGBl. I S. 3091, 3103) geändert worden ist, gelten entsprechend.</w:t>
      </w:r>
    </w:p>
    <w:p>
      <w:r>
        <w:t xml:space="preserve">(2) Die Flächen sind im Wege eines diskriminierungsfreien und transparenten Auswahlverfahrens, das auch durch ein von der Gemeinde beliehenes kommunales Unternehmen durchgeführt werden darf, einem oder mehreren geeigneten und zuverlässigen Carsharinganbietern im Sinne des § 2 Nummer 2 des Carsharinggesetzes durch Erteilung einer Sondernutzungserlaubnis für den Zeitraum von längstens acht Jahren zur Verfügung zu stellen. Es ist im Auswahlverfahren festzulegen, wie verfahren wird, wenn pro Fläche mehr als ein Unternehmen einen Antrag auf Sondernutzung stellt. § 5 des Carsharinggesetzes gilt mit der Maßgabe entsprechend, dass sich die Abwicklung über eine einheitliche Stelle gemäß § 5 Absatz 6 Satz 5 des Carsharinggesetzes aus § 1 Absatz 1 des Verwaltungsverfahrensgesetzes für das Land Brandenburg in Verbindung mit § 71a des Verwaltungsverfahrensgesetzes ergibt.</w:t>
      </w:r>
    </w:p>
    <w:p>
      <w:r>
        <w:t xml:space="preserve">(3) Als Eignungskriterien für die Auswahl der Carsharing-Anbieter kann die Gemeinde auch umweltbezogene oder solche Kriterien festlegen, die</w:t>
      </w:r>
    </w:p>
    <w:p>
      <w:r>
        <w:t xml:space="preserve">einer Verringerung des motorisierten Individualverkehrs insbesondere durch Vernetzung mit anderen Mobilitätsangeboten oder</w:t>
      </w:r>
    </w:p>
    <w:p>
      <w:r>
        <w:t xml:space="preserve">einer Entlastung von straßenverkehrsbedingten Luftschadstoffen, insbesondere durch das Vorhalten elektrisch betriebener Fahrzeuge im Sinne des Elektromobilitätsgesetzes vom 5. Juni 2015 (BGBl. I S. 898), das zuletzt durch Artikel 2 Absatz 34 des Gesetzes vom 20. Dezember 2022 (BGBl. I S. 2752, 2756) geändert worden ist, besonders dienlich sind. Die Festlegung der Eignungskriterien kann auch durch Satzung erfolgen.</w:t>
      </w:r>
    </w:p>
    <w:p>
      <w:r>
        <w:t xml:space="preserve">(4) Ist die Gemeinde in der Ortsdurchfahrt nicht Träger der Straßenbaulast, darf sie die Flächen nur mit Zustimmung der Straßenbaubehörde bestimmen. § 18 Absatz 1 Satz 4 und Absatz 2, 4 bis 8, § 20 sowie § 21 Absatz 1 und Absatz 2 Satz 2 gelten mit der Maßgabe entsprechend, dass die Sondernutzungserlaubnis nicht auf Widerruf erteilt werden darf.</w:t>
      </w:r>
    </w:p>
    <w:p>
      <w:r>
        <w:rPr>
          <w:color w:val="555555"/>
          <w:sz w:val="17"/>
        </w:rPr>
        <w:t xml:space="preserve">Zitiervorschlag: § 18a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