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BbgStrG (Brandenburg) — Verunreinigung und Beschädigung</w:t>
      </w:r>
    </w:p>
    <w:p>
      <w:r>
        <w:rPr>
          <w:color w:val="555555"/>
          <w:sz w:val="18"/>
        </w:rPr>
        <w:t xml:space="preserve">Brandenburgisches Straßengesetz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eine Straße über das übliche Maß hinaus verunreinigt, hat die Verunreinigung ohne Aufforderung unverzüglich zu beseitigen; anderenfalls kann der Träger der Straßenbaulast und innerhalb der Ortsdurchfahrt die Gemeinde die Verunreinigung auf Kosten des Verursachers beseitigen. Weitergehende bundes- oder landesrechtliche Vorschriften bleiben unberührt.</w:t>
      </w:r>
    </w:p>
    <w:p>
      <w:r>
        <w:t xml:space="preserve">(2) Wer eine Straße oder einzelne Bestandteile beschädigt oder zerstört, kann zur Übernahme der Kosten, die für deren Beseitigung anfallen, verpflichtet werden. Ordnungsrechtliche Maßnahmen bleiben davon unberührt.</w:t>
      </w:r>
    </w:p>
    <w:p>
      <w:r>
        <w:t xml:space="preserve">(3) Abfall darf unbefugt nicht zum Zwecke der Entsorgung auf die Straße gebracht werden.</w:t>
      </w:r>
    </w:p>
    <w:p>
      <w:r>
        <w:t xml:space="preserve">(4) Die Bestimmungen der Absätze 2 und 3 gelten auch für die Bundesfernstraßen.</w:t>
      </w:r>
    </w:p>
    <w:p>
      <w:r>
        <w:rPr>
          <w:color w:val="555555"/>
          <w:sz w:val="17"/>
        </w:rPr>
        <w:t xml:space="preserve">Zitiervorschlag: § 17 BbgStrG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