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BbgStrG (Brandenburg) — Gemeingebrauch, Anliegergebrauch</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Gebrauch der öffentlichen Straße ist jedermann im Rahmen der Widmung und der Straßenverkehrsvorschriften innerhalb der verkehrsüblichen Grenzen gestattet (Gemeingebrauch). Auf die Aufrechterhaltung des Gemeingebrauchs besteht kein Rechtsanspruch. Für Erschwernisse, die durch Einschränkungen des Gemeingebrauchs hervorgerufen werden, besteht kein Anspruch auf Ersatz der Mehraufwendungen bzw. auf Ausgleich gewerblicher Nachteile.</w:t>
      </w:r>
    </w:p>
    <w:p>
      <w:r>
        <w:t xml:space="preserve">(2) Im Rahmen des Gemeingebrauchs hat der fließende Verkehr den Vorrang vor dem ruhenden Verkehr, soweit sich aus der Widmung der Straße und dem Straßenverkehrsrecht nichts anderes ergibt.</w:t>
      </w:r>
    </w:p>
    <w:p>
      <w:r>
        <w:t xml:space="preserve">(3) Die Erhebung von Gebühren für die Ausübung des Gemeingebrauchs bedarf einer gesonderten gesetzlichen Regelung.</w:t>
      </w:r>
    </w:p>
    <w:p>
      <w:r>
        <w:t xml:space="preserve">(4) Eigentümer und Besitzer von Grundstücken, die an einer öffentlichen Straße gelegen sind (Straßenanlieger), dürfen innerhalb der geschlossenen Ortslage die an die Grundstücke angrenzenden Straßenteile über den Gemeingebrauch hinaus auch für Zwecke der Grundstücke benutzen, soweit diese Benutzung zur Nutzung des Grundstücks erforderlich ist, den Gemeingebrauch nicht dauernd ausschließt oder erheblich beeinträchtigt und nicht in den Straßenkörper eingreift diesen beschädigt oder dessen Nutzung beeinträchtigt.</w:t>
      </w:r>
    </w:p>
    <w:p>
      <w:r>
        <w:t xml:space="preserve">(5) Den Straßenanliegern steht unbeschadet des § 22 Abs. 5 kein Anspruch darauf zu, dass die Straße nicht geändert oder nicht eingezogen wird.</w:t>
      </w:r>
    </w:p>
    <w:p>
      <w:r>
        <w:rPr>
          <w:color w:val="555555"/>
          <w:sz w:val="17"/>
        </w:rPr>
        <w:t xml:space="preserve">Zitiervorschlag: § 14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