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BbgStrG (Brandenburg) — Geltungsbereich</w:t>
      </w:r>
    </w:p>
    <w:p>
      <w:r>
        <w:rPr>
          <w:color w:val="555555"/>
          <w:sz w:val="18"/>
        </w:rPr>
        <w:t xml:space="preserve">Brandenburgisches Straßengesetz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26.07.2026 (konsolidierte Textfassung, kein amtliches Inkrafttretensdatum)</w:t>
      </w:r>
    </w:p>
    <w:p>
      <w:r>
        <w:t xml:space="preserve">Das Gesetz regelt die Rechtsverhältnisse der öffentlichen Straßen. Für die Bundesfernstraßen gilt es nur, soweit dies ausdrücklich bestimmt ist. Die Grundsätze des Mobilitätsgesetzes des Landes Brandenburg vom 9. Februar 2024 ( GVBl. I Nr. 6) sind entsprechend anzuwenden.</w:t>
      </w:r>
    </w:p>
    <w:p>
      <w:r>
        <w:rPr>
          <w:color w:val="555555"/>
          <w:sz w:val="17"/>
        </w:rPr>
        <w:t xml:space="preserve">Zitiervorschlag: § 1 BbgStrG (Brandenburg)</w:t>
      </w:r>
    </w:p>
    <w:p>
      <w:r>
        <w:rPr>
          <w:color w:val="555555"/>
          <w:sz w:val="17"/>
        </w:rPr>
        <w:t xml:space="preserve">Quelle: bravors, abgerufen 26.07.2026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