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BbgStkV (Brandenburg) — Wechsel des Studienkollegs</w:t>
      </w:r>
    </w:p>
    <w:p>
      <w:r>
        <w:rPr>
          <w:color w:val="555555"/>
          <w:sz w:val="18"/>
        </w:rPr>
        <w:t xml:space="preserve">Brandenburgische Studienkollegverordnung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 Wechsel von einem Studienkolleg zu einem anderen ist in der Regel nicht möglich.</w:t>
      </w:r>
    </w:p>
    <w:p>
      <w:r>
        <w:t xml:space="preserve">(2) In Abhängigkeit von den zur Verfügung stehenden Kapazitäten können in begründeten Fällen Studierende aus anderen Studienkollegs aufgenommen werden, wenn</w:t>
      </w:r>
    </w:p>
    <w:p>
      <w:r>
        <w:t xml:space="preserve">die ordnungsgemäße Exmatrikulation an der vorherigen Einrichtung und eine Bewerbung an einer Brandenburger Hochschule erfolgte,</w:t>
      </w:r>
    </w:p>
    <w:p>
      <w:r>
        <w:t xml:space="preserve">alle bis zum Zeitpunkt des Wechsels zu erbringenden Leistungsnachweise vorliegen,</w:t>
      </w:r>
    </w:p>
    <w:p>
      <w:r>
        <w:t xml:space="preserve">eine schriftliche oder elektronische Begründung für den Wechsel vorliegt.</w:t>
      </w:r>
    </w:p>
    <w:p>
      <w:r>
        <w:rPr>
          <w:color w:val="555555"/>
          <w:sz w:val="17"/>
        </w:rPr>
        <w:t xml:space="preserve">Zitiervorschlag: § 5 BbgStkV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https://recht.nulegal.eu/gesetze/BbgStkV/5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