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BbgStkV (Brandenburg) — Ermittlung der jährlichen Aufnahmekapazität</w:t>
      </w:r>
    </w:p>
    <w:p>
      <w:r>
        <w:rPr>
          <w:color w:val="555555"/>
          <w:sz w:val="18"/>
        </w:rPr>
        <w:t xml:space="preserve">Brandenburgische Studienkollegverordnung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Ermittlung der jährlichen Aufnahmekapazität gilt § 27 Abs. 1, Abs. 2 Satz 1 und Abs. 3 Satz 1 des Brandenburgischen Hochschulgesetzes sinngemäß.</w:t>
      </w:r>
    </w:p>
    <w:p>
      <w:r>
        <w:rPr>
          <w:color w:val="555555"/>
          <w:sz w:val="17"/>
        </w:rPr>
        <w:t xml:space="preserve">Zitiervorschlag: § 4 BbgStkV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https://recht.nulegal.eu/gesetze/BbgStkV/4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