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BbgStkV (Brandenburg) — Rechtsstellung der Studierenden am Studienkolleg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zugelassenen Studienbewerberinnen und Studienbewerber werden für die Dauer der Ausbildung an der Universität Potsdam befristet immatrikuliert. Sie gehören als Studierende keiner Fakultät an.</w:t>
      </w:r>
    </w:p>
    <w:p>
      <w:r>
        <w:t xml:space="preserve">(2) Die am Studienkolleg verbrachte Zeit wird nicht auf das Fachstudium angerechnet.</w:t>
      </w:r>
    </w:p>
    <w:p>
      <w:r>
        <w:rPr>
          <w:color w:val="555555"/>
          <w:sz w:val="17"/>
        </w:rPr>
        <w:t xml:space="preserve">Zitiervorschlag: § 2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