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BbgStatG (Brandenburg) — Inkrafttreten, Außerkrafttreten</w:t>
      </w:r>
    </w:p>
    <w:p>
      <w:r>
        <w:rPr>
          <w:color w:val="555555"/>
          <w:sz w:val="18"/>
        </w:rPr>
        <w:t xml:space="preserve">Brandenburgisches Statistikgesetz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 nach der Verkündung in Kraft. Gleichzeitig tritt das Brandenburgische Statistikgesetz vom 11. Oktober 1996 (GVBl. I S. 294), das zuletzt durch Artikel 2 des Gesetzes vom 8. Mai 2018 (GVBl. I Nr. 8 S. 3) geändert worden ist, außer Kraft.</w:t>
      </w:r>
    </w:p>
    <w:p>
      <w:r>
        <w:t xml:space="preserve">Einzelnorm</w:t>
      </w:r>
    </w:p>
    <w:p>
      <w:r>
        <w:t xml:space="preserve">Potsdam, den 1. April 2020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rPr>
          <w:color w:val="555555"/>
          <w:sz w:val="17"/>
        </w:rPr>
        <w:t xml:space="preserve">Zitiervorschlag: § 28 BbgStatG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https://recht.nulegal.eu/gesetze/BbgStatG/28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