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BbgStatG (Brandenburg) — Einschränkung von Grundrechten</w:t>
      </w:r>
    </w:p>
    <w:p>
      <w:r>
        <w:rPr>
          <w:color w:val="555555"/>
          <w:sz w:val="18"/>
        </w:rPr>
        <w:t xml:space="preserve">Brandenburgisches Statistikgesetz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 § 10 Absatz 2 Satz 1, § 16 Absatz 1, § 17 Absatz 5, Absatz 6 Satz 1, Absatz 7 Satz 1 und Absatz 8 Satz 1, § 18 Absatz 2 sowie § 19 Absatz 2 Satz 2 wird das Grundrecht auf Datenschutz (Artikel 11 Absatz 1 der Verfassung des Landes Brandenburg) eingeschränkt.</w:t>
      </w:r>
    </w:p>
    <w:p>
      <w:r>
        <w:t xml:space="preserve">(2) Durch § 12 Absatz 1 wird das Grundrecht auf Berufsfreiheit (Artikel 49 Absatz 1 Satz 1 der Verfassung des Landes Brandenburg) eingeschränkt.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26 BbgStatG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https://recht.nulegal.eu/gesetze/BbgStatG/26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