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BbgStatG (Brandenburg) — Ordnungswidrigkeiten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 entgegen § 16 Absatz 1, Absatz 2 Satz 1 oder Absatz 4 Satz 1 eine Auskunft nicht, nicht richtig, nicht vollständig, nicht rechtzeitig oder nicht in der vorgegebenen Form erteilt. Ordnungswidrig handelt auch, wer vorsätzlich oder fahrlässig entgegen § 16 Absatz 3 Satz 2 ein dort genanntes Verfahren nicht nutzt.</w:t>
      </w:r>
    </w:p>
    <w:p>
      <w:r>
        <w:t xml:space="preserve">(2) Ordnungswidrig handelt auch, wer vorsätzlich oder fahrlässig einer Auskunftspflicht zuwiderhandelt, die in einer nach § 7 Absatz 2 erlassenen Satzung festgelegt ist, soweit die Satzung für einen bestimmten Tatbestand auf diese Bußgeldvorschrift verweist.</w:t>
      </w:r>
    </w:p>
    <w:p>
      <w:r>
        <w:t xml:space="preserve">(3) Die Ordnungswidrigkeit kann mit einer Geldbuße bis zu fünftausend Euro geahndet werden.</w:t>
      </w:r>
    </w:p>
    <w:p>
      <w:r>
        <w:t xml:space="preserve">(4) Zuständig im Sinne von § 36 Absatz 1 Nummer 1 des Gesetzes über Ordnungswidrigkeiten sind</w:t>
      </w:r>
    </w:p>
    <w:p>
      <w:r>
        <w:t xml:space="preserve">das Amt für Statistik Berlin-Brandenburg für Ordnungswidrigkeiten nach Absatz 1, soweit Auskunftspflichten für Landesstatistiken betroffen sind, und für Ordnungswidrigkeiten nach § 23 des Bundesstatistikgesetzes in der Fassung der Bekanntmachung vom 20. Oktober 2016 (BGBl. I S. 2394), das zuletzt durch Artikel 10 Absatz 5 des Gesetzes vom 30. Oktober 2017 (BGBl. I S. 3618, 3623) geändert worden ist,</w:t>
      </w:r>
    </w:p>
    <w:p>
      <w:r>
        <w:t xml:space="preserve">abweichend von Nummer 1 die Hauptverwaltungsbeamtinnen und Hauptverwaltungsbeamten der Gemeinden und Gemeindeverbände, bei denen Erhebungsstellen eingerichtet sind, soweit nicht durch Rechtsvorschrift etwas anderes bestimmt ist, und</w:t>
      </w:r>
    </w:p>
    <w:p>
      <w:r>
        <w:t xml:space="preserve">die Gemeinden und Gemeindeverbände, welche die Statistik angeordnet haben, für Ordnungswidrigkeiten nach Absatz 2, soweit nicht durch Rechtsvorschrift etwas anderes bestimmt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