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BbgStatG (Brandenburg) — Reidentifizierungsverbot</w:t>
      </w:r>
    </w:p>
    <w:p>
      <w:r>
        <w:rPr>
          <w:color w:val="555555"/>
          <w:sz w:val="18"/>
        </w:rPr>
        <w:t xml:space="preserve">Brandenburgisches Statistikgesetz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Eine Zusammenführung von Einzelangaben aus Landes- oder Kommunalstatistiken oder mit anderen Angaben zum Zwecke der Herstellung eines Personen-, Unternehmens-, Betriebs- oder Arbeitsstättenbezugs außerhalb der Aufgabenstellung dieses Gesetzes oder einer eine Landes- oder Kommunalstatistik anordnenden Rechtsvorschrift ist unzulässig.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BbgStatG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https://recht.nulegal.eu/gesetze/BbgStatG/21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