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BbgStTbV-DV (Brandenburg) — Inkrafttreten</w:t>
      </w:r>
    </w:p>
    <w:p>
      <w:r>
        <w:rPr>
          <w:color w:val="555555"/>
          <w:sz w:val="18"/>
        </w:rPr>
        <w:t xml:space="preserve">Brandenburgische StTbV-Durchführungsverordnung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Potsdam, den 3. Juni 2026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Dr. Dietmar Woidke</w:t>
      </w:r>
    </w:p>
    <w:p>
      <w:r>
        <w:t xml:space="preserve">Der Minister für Infrastruktur und Landesplanung</w:t>
      </w:r>
    </w:p>
    <w:p>
      <w:r>
        <w:t xml:space="preserve">Robert Crumbach</w:t>
      </w:r>
    </w:p>
    <w:p>
      <w:r>
        <w:rPr>
          <w:color w:val="555555"/>
          <w:sz w:val="17"/>
        </w:rPr>
        <w:t xml:space="preserve">Zitiervorschlag: § 9 BbgStTbV-DV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https://recht.nulegal.eu/gesetze/BbgStTbV-DV/9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