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BbgStTbV-DV (Brandenburg) — Theoretische Schulung</w:t>
      </w:r>
    </w:p>
    <w:p>
      <w:r>
        <w:rPr>
          <w:color w:val="555555"/>
          <w:sz w:val="18"/>
        </w:rPr>
        <w:t xml:space="preserve">Brandenburgische StTbV-Durchführungsverordnung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theoretische Schulung gliedert sich in zwei Schulungsabschnitte:</w:t>
      </w:r>
    </w:p>
    <w:p>
      <w:r>
        <w:t xml:space="preserve">Ausbildungsabschnitt 1 (Grundseminar): Theoretische Schulung als Ausbildungsteil 1 im Umfang von 84 Unterrichtseinheiten und</w:t>
      </w:r>
    </w:p>
    <w:p>
      <w:r>
        <w:t xml:space="preserve">Ausbildungsabschnitt 2 (Qualifizierungsseminar): Theoretische Schulung als Ausbildungsteil 2 im Umfang von 76 Unterrichtseinheiten.</w:t>
      </w:r>
    </w:p>
    <w:p>
      <w:r>
        <w:rPr>
          <w:color w:val="555555"/>
          <w:sz w:val="17"/>
        </w:rPr>
        <w:t xml:space="preserve">Zitiervorschlag: § 3 BbgStTbV-DV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https://recht.nulegal.eu/gesetze/BbgStTbV-DV/3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