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BbgStSichG (Brandenburg) — Befristung</w:t>
      </w:r>
    </w:p>
    <w:p>
      <w:r>
        <w:rPr>
          <w:color w:val="555555"/>
          <w:sz w:val="18"/>
        </w:rPr>
        <w:t xml:space="preserve">Brandenburgs-Stärken-Sicherungsgesetz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Finanzierungen für Maßnahmen und Leistungen nach § 2 Absatz 1 sind nur bis zum 31. Dezember 2022 zulässig.</w:t>
      </w:r>
    </w:p>
    <w:p>
      <w:r>
        <w:t xml:space="preserve">(2) Das Sondervermögen ist bis zum 31. Dezember 2022 befristet.</w:t>
      </w:r>
    </w:p>
    <w:p>
      <w:r>
        <w:t xml:space="preserve">(3) Die Auskehrung des Restbetrages erfolgt an den Landeshaushalt. Dieser darf ausschließlich zur Tilgung der aufgrund der Kreditermächtigung im Jahr 2021 aufgenommenen Kredite genutzt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BbgStSichG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https://recht.nulegal.eu/gesetze/BbgStSichG/9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