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BbgStSichG (Brandenburg) — Verwendung des Sondervermögens und Wirtschaftsplan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die zweckentsprechende Verwendung der Mittel des Sondervermögens im Sinne des § 2 ist der Wirtschaftsplan des Sondervermögens maßgeblich. Der Wirtschaftsplan als Teil des Haushaltsplans wird vom für Finanzen zuständigen Ministerium aufgestellt.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