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BbgStSichG (Brandenburg) — Verwaltung</w:t>
      </w:r>
    </w:p>
    <w:p>
      <w:r>
        <w:rPr>
          <w:color w:val="555555"/>
          <w:sz w:val="18"/>
        </w:rPr>
        <w:t xml:space="preserve">Brandenburgs-Stärken-Sicherungsgesetz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für Finanzen zuständige Ministerium verwaltet das Sondervermögen. Es kann sich hierzu einer anderen Landesbehörde oder eines Dritten bedienen. Die Kosten für die Verwaltung des Sondervermögens trägt das Land.</w:t>
      </w:r>
    </w:p>
    <w:p>
      <w:r>
        <w:t xml:space="preserve">(2) Die Mittel des Sondervermögens bleiben unverzinst im Liquiditätsmanagement des Landes.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BbgStSichG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https://recht.nulegal.eu/gesetze/BbgStSichG/4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