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BbgStSichG (Brandenburg) — Inkrafttreten, Außerkrafttreten</w:t>
      </w:r>
    </w:p>
    <w:p>
      <w:r>
        <w:rPr>
          <w:color w:val="555555"/>
          <w:sz w:val="18"/>
        </w:rPr>
        <w:t xml:space="preserve">Brandenburgs-Stärken-Sicherungsgesetz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2021 in Kraft und mit Ablauf des 31. Dezember 2022 außer Kraft.</w:t>
      </w:r>
    </w:p>
    <w:p>
      <w:r>
        <w:t xml:space="preserve">Einzelnorm</w:t>
      </w:r>
    </w:p>
    <w:p>
      <w:r>
        <w:t xml:space="preserve">Potsdam, den 18. Dezember 2020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rPr>
          <w:color w:val="555555"/>
          <w:sz w:val="17"/>
        </w:rPr>
        <w:t xml:space="preserve">Zitiervorschlag: § 10 BbgStSichG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https://recht.nulegal.eu/gesetze/BbgStSichG/10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