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BbgStEG (Brandenburg) — Berichtspflicht, Übertragbarkeit</w:t>
      </w:r>
    </w:p>
    <w:p>
      <w:r>
        <w:rPr>
          <w:color w:val="555555"/>
          <w:sz w:val="18"/>
        </w:rPr>
        <w:t xml:space="preserve">Brandenburgisches Standarderprobungsgesetz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Erprobungskörperschaft berichtet der Genehmigungsbehörde über die Ergebnisse der Erprobung. Die Genehmigungsbehörde wertet die Ergebnisse der Erprobung mit der Erprobungskörperschaft aus. Dies gilt im Falle des § 4 entsprechend.</w:t>
      </w:r>
    </w:p>
    <w:p>
      <w:r>
        <w:t xml:space="preserve">(2) Die Genehmigungsbehörde prüft unter Beteiligung des für Inneres zuständigen Ministeriums die generelle Übertragbarkeit des Ergebnisses der Erprobungen auf die anderen kommunalen Körperschaften im Land Brandenburg.</w:t>
      </w:r>
    </w:p>
    <w:p>
      <w:r>
        <w:t xml:space="preserve">(3) Die Landesregierung berichtet dem Landtag alle zwei Jahre nach Inkrafttreten dieses Gesetzes über den Stand und die Auswirkungen des Verfahrens unter Berücksichtigung der Zielstellung gemäß § 1.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BbgStEG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https://recht.nulegal.eu/gesetze/BbgStEG/5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