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BbgStEG (Brandenburg) — Antragstellung der kommunalen Spitzenverbände für ihre Mitglieder</w:t>
      </w:r>
    </w:p>
    <w:p>
      <w:r>
        <w:rPr>
          <w:color w:val="555555"/>
          <w:sz w:val="18"/>
        </w:rPr>
        <w:t xml:space="preserve">Brandenburgisches Standarderprobungsgesetz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Städte- und Gemeindebund Brandenburg kann stellvertretend für mehrere Gemeinden, Ämter und Verbandsgemeinden Anträge gemäß § 2 Absatz 1 stellen. Für das Verfahren gilt § 3 entsprechend.</w:t>
      </w:r>
    </w:p>
    <w:p>
      <w:r>
        <w:t xml:space="preserve">(2) Der Landkreistag Brandenburg kann stellvertretend für mehrere Landkreise Anträge gemäß § 2 Absatz 1 stellen. Für das Verfahren gilt § 3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BbgStEG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https://recht.nulegal.eu/gesetze/BbgStEG/4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