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BbgStEG (Brandenburg) — Ziele</w:t>
      </w:r>
    </w:p>
    <w:p>
      <w:r>
        <w:rPr>
          <w:color w:val="555555"/>
          <w:sz w:val="18"/>
        </w:rPr>
        <w:t xml:space="preserve">Brandenburgisches Standarderprobungsgesetz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dieses Gesetzes ist es, neue Maßnahmen zum Bürokratieabbau zu erproben, auszuwerten und erfolgreiche Modelle landesweit zur Anwendung zu empfehlen. Zu diesem Zweck werden für einen begrenzten Zeitraum Abweichungen von Rechtsvorschriften zugelassen, um den kommunalen Körperschaften die Erprobung neuer Lösungen bei der kommunalen Aufgabenerledigung zu ermöglichen und zu testen, ob damit unternehmerisches Handeln und Existenzgründungen erleichtert und somit die wirtschaftliche Entwicklung gefördert sowie Verwaltungsverfahren beschleunigt, vereinfacht und kostengünstiger für die Unternehmen, die Bürgerinnen und Bürger und die Verwaltungen gestaltet werden können.</w:t>
      </w:r>
    </w:p>
    <w:p>
      <w:r>
        <w:t xml:space="preserve">(2) Ein weiteres Ziel dieses Gesetzes ist es, die Handlungsspielräume auf kommunaler Ebene zu erhöhen, um den Herausforderungen des demografischen Wandels vor Ort mit flexiblen und örtlich angepassten Lösungen begegnen zu können.</w:t>
      </w:r>
    </w:p>
    <w:p>
      <w:r>
        <w:t xml:space="preserve">Einzelnorm</w:t>
      </w:r>
    </w:p>
    <w:p>
      <w:r>
        <w:rPr>
          <w:color w:val="555555"/>
          <w:sz w:val="17"/>
        </w:rPr>
        <w:t xml:space="preserve">Zitiervorschlag: § 1 BbgStEG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https://recht.nulegal.eu/gesetze/BbgStEG/1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